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0D" w:rsidRDefault="000A5F0D" w:rsidP="000A5F0D">
      <w:pPr>
        <w:pStyle w:val="Nadpis1"/>
      </w:pPr>
      <w:r>
        <w:rPr>
          <w:sz w:val="28"/>
          <w:szCs w:val="28"/>
        </w:rPr>
        <w:t xml:space="preserve">Zasílání celé mzdy zaměstnance insolvenčnímu správci </w:t>
      </w:r>
    </w:p>
    <w:p w:rsidR="000A5F0D" w:rsidRDefault="000A5F0D" w:rsidP="000A5F0D"/>
    <w:p w:rsidR="000A5F0D" w:rsidRDefault="000A5F0D" w:rsidP="000A5F0D">
      <w:pPr>
        <w:spacing w:line="360" w:lineRule="auto"/>
        <w:jc w:val="both"/>
        <w:rPr>
          <w:rFonts w:ascii="Arial" w:hAnsi="Arial" w:cs="Arial"/>
          <w:sz w:val="22"/>
          <w:szCs w:val="22"/>
        </w:rPr>
      </w:pPr>
      <w:r>
        <w:rPr>
          <w:rFonts w:ascii="Arial" w:hAnsi="Arial" w:cs="Arial"/>
          <w:sz w:val="22"/>
          <w:szCs w:val="22"/>
        </w:rPr>
        <w:t xml:space="preserve">Výchozí situace: Zaměstnanec je v insolvenci. Existuje více plátců mzdy (např. zaměstnavatel        a Česká správa sociálního zabezpečení). Insolvenční správce stanovil zaměstnavateli následující postup: oba plátci zašlou celý příjem zaměstnance a on sám vypočítá insolvenční srážku </w:t>
      </w:r>
      <w:bookmarkStart w:id="0" w:name="_GoBack"/>
      <w:bookmarkEnd w:id="0"/>
      <w:r>
        <w:rPr>
          <w:rFonts w:ascii="Arial" w:hAnsi="Arial" w:cs="Arial"/>
          <w:sz w:val="22"/>
          <w:szCs w:val="22"/>
        </w:rPr>
        <w:t xml:space="preserve">a zaměstnanci vrátí příslušnou část příjmu. Při přepočtu dochází k určité časové prodlevě, kdy zaměstnanec není finančně zabezpečen. Není tento postup v rozporu se zákoníkem práce, který zaměstnavateli zakazuje provedení větší srážky, než umožňuje občanský soudní řád? </w:t>
      </w:r>
    </w:p>
    <w:p w:rsidR="000A5F0D" w:rsidRDefault="000A5F0D" w:rsidP="000A5F0D">
      <w:pPr>
        <w:spacing w:line="360" w:lineRule="auto"/>
        <w:jc w:val="both"/>
        <w:rPr>
          <w:rFonts w:ascii="Arial" w:hAnsi="Arial" w:cs="Arial"/>
          <w:sz w:val="22"/>
          <w:szCs w:val="22"/>
        </w:rPr>
      </w:pPr>
    </w:p>
    <w:p w:rsidR="000A5F0D" w:rsidRDefault="000A5F0D" w:rsidP="000A5F0D">
      <w:pPr>
        <w:spacing w:line="360" w:lineRule="auto"/>
        <w:jc w:val="both"/>
        <w:rPr>
          <w:rFonts w:ascii="Arial" w:hAnsi="Arial" w:cs="Arial"/>
          <w:b/>
          <w:bCs/>
          <w:sz w:val="22"/>
          <w:szCs w:val="22"/>
        </w:rPr>
      </w:pPr>
      <w:r>
        <w:rPr>
          <w:rFonts w:ascii="Arial" w:hAnsi="Arial" w:cs="Arial"/>
          <w:b/>
          <w:bCs/>
          <w:sz w:val="22"/>
          <w:szCs w:val="22"/>
        </w:rPr>
        <w:t xml:space="preserve">Právní názory v plném znění: </w:t>
      </w:r>
    </w:p>
    <w:p w:rsidR="000A5F0D" w:rsidRDefault="000A5F0D" w:rsidP="000A5F0D">
      <w:pPr>
        <w:spacing w:line="360" w:lineRule="auto"/>
        <w:jc w:val="both"/>
        <w:rPr>
          <w:rFonts w:ascii="Arial" w:hAnsi="Arial" w:cs="Arial"/>
          <w:b/>
          <w:bCs/>
          <w:sz w:val="22"/>
          <w:szCs w:val="22"/>
        </w:rPr>
      </w:pPr>
    </w:p>
    <w:p w:rsidR="000A5F0D" w:rsidRDefault="000A5F0D" w:rsidP="000A5F0D">
      <w:pPr>
        <w:spacing w:line="360" w:lineRule="auto"/>
        <w:jc w:val="both"/>
      </w:pPr>
      <w:r>
        <w:rPr>
          <w:rFonts w:ascii="Arial" w:hAnsi="Arial" w:cs="Arial"/>
          <w:sz w:val="22"/>
          <w:szCs w:val="22"/>
          <w:u w:val="single"/>
        </w:rPr>
        <w:t xml:space="preserve">JUDr. Jan </w:t>
      </w:r>
      <w:proofErr w:type="spellStart"/>
      <w:r>
        <w:rPr>
          <w:rFonts w:ascii="Arial" w:hAnsi="Arial" w:cs="Arial"/>
          <w:sz w:val="22"/>
          <w:szCs w:val="22"/>
          <w:u w:val="single"/>
        </w:rPr>
        <w:t>Breburda</w:t>
      </w:r>
      <w:proofErr w:type="spellEnd"/>
      <w:r>
        <w:rPr>
          <w:rFonts w:ascii="Arial" w:hAnsi="Arial" w:cs="Arial"/>
          <w:sz w:val="22"/>
          <w:szCs w:val="22"/>
          <w:u w:val="single"/>
        </w:rPr>
        <w:t>,</w:t>
      </w:r>
      <w:r>
        <w:rPr>
          <w:rFonts w:ascii="Arial" w:hAnsi="Arial" w:cs="Arial"/>
          <w:sz w:val="22"/>
          <w:szCs w:val="22"/>
        </w:rPr>
        <w:t xml:space="preserve"> (zveřejněno zde: </w:t>
      </w:r>
      <w:r>
        <w:rPr>
          <w:rStyle w:val="Hypertextovodkaz"/>
          <w:rFonts w:ascii="Arial" w:hAnsi="Arial" w:cs="Arial"/>
          <w:sz w:val="22"/>
          <w:szCs w:val="22"/>
        </w:rPr>
        <w:t>http://www.anag.cz/exec/faq.asp</w:t>
      </w:r>
      <w:r>
        <w:rPr>
          <w:rFonts w:ascii="Arial" w:hAnsi="Arial" w:cs="Arial"/>
          <w:sz w:val="22"/>
          <w:szCs w:val="22"/>
        </w:rPr>
        <w:t xml:space="preserve">): </w:t>
      </w:r>
      <w:r>
        <w:rPr>
          <w:rStyle w:val="Q"/>
          <w:rFonts w:ascii="Arial" w:hAnsi="Arial" w:cs="Arial"/>
          <w:sz w:val="22"/>
          <w:szCs w:val="22"/>
        </w:rPr>
        <w:t>„</w:t>
      </w:r>
      <w:r>
        <w:rPr>
          <w:rStyle w:val="Q"/>
          <w:rFonts w:ascii="Arial" w:hAnsi="Arial" w:cs="Arial"/>
          <w:sz w:val="22"/>
          <w:szCs w:val="22"/>
          <w:u w:val="single"/>
        </w:rPr>
        <w:t>Insolvenční správce obecně takové pravomoci nemá a jeho požadavek odporuje právní úpravě</w:t>
      </w:r>
      <w:r>
        <w:rPr>
          <w:rStyle w:val="Q"/>
          <w:rFonts w:ascii="Arial" w:hAnsi="Arial" w:cs="Arial"/>
          <w:sz w:val="22"/>
          <w:szCs w:val="22"/>
        </w:rPr>
        <w:t xml:space="preserve"> i příslušnému rozhodnutí insolvenčního soudu o schválení oddlužení plněním splátkového kalendáře, jež bylo      v této věci nejspíše vydáno. V průběhu oddlužení plněním splátkového kalendáře podle § 406 odst. 3 písm. d) insolvenčního zákona provádí insolvenční srážky ze mzdy plátce mzdy. Dovedu si však představit, že by konkrétní podmínky provádění srážek </w:t>
      </w:r>
      <w:r>
        <w:rPr>
          <w:rStyle w:val="Q"/>
          <w:rFonts w:ascii="Arial" w:hAnsi="Arial" w:cs="Arial"/>
          <w:sz w:val="22"/>
          <w:szCs w:val="22"/>
          <w:u w:val="single"/>
        </w:rPr>
        <w:t>upravil svým rozhodnutím insolvenční soud</w:t>
      </w:r>
      <w:r>
        <w:rPr>
          <w:rStyle w:val="Q"/>
          <w:rFonts w:ascii="Arial" w:hAnsi="Arial" w:cs="Arial"/>
          <w:sz w:val="22"/>
          <w:szCs w:val="22"/>
        </w:rPr>
        <w:t xml:space="preserve"> analogicky podle ustanovení § 298 občanského soudního řádu. Mohl by tak v případě několika plátců mzdy jednotlivě určit, jakou část nezabavitelné částky nemají srážet. Případné rozhodnutí soudu o zasílání celé mzdy přímo insolvenčnímu správci by naopak vybočilo ze zákonného rámce a poškozovalo by úpadce (jak je ostatně naznačeno v samotném dotazu). Plátci mzdy by však zřejmě nezbylo, než se jím až do jeho zrušení řídit. </w:t>
      </w:r>
      <w:bookmarkStart w:id="1" w:name="_GoBack2"/>
      <w:r>
        <w:rPr>
          <w:rFonts w:ascii="Arial" w:hAnsi="Arial" w:cs="Arial"/>
          <w:sz w:val="22"/>
          <w:szCs w:val="22"/>
        </w:rPr>
        <w:t xml:space="preserve">Insolvenční správce </w:t>
      </w:r>
      <w:r>
        <w:rPr>
          <w:rFonts w:ascii="Arial" w:hAnsi="Arial" w:cs="Arial"/>
          <w:sz w:val="22"/>
          <w:szCs w:val="22"/>
          <w:u w:val="single"/>
        </w:rPr>
        <w:t>nemá žádnou pravomoc k tomu, aby mohl požadovat po plátci mzdy vyplacení celé mzdy</w:t>
      </w:r>
      <w:r>
        <w:rPr>
          <w:rFonts w:ascii="Arial" w:hAnsi="Arial" w:cs="Arial"/>
          <w:sz w:val="22"/>
          <w:szCs w:val="22"/>
        </w:rPr>
        <w:t xml:space="preserve"> dotčeného zaměstnance a aby z ní následně popsaným způsobem sám prováděl insolvenční srážky. Jeho požadavek odporuje platné právní úpravě i příslušnému rozhodnutí insolvenčního soudu  o  schválení oddlužení plněním splátkového kalendáře, jež bylo v této věci nejspíše vydáno. V průběhu oddlužení plněním splátkového kalendáře podle ustanovení § 406 odst. 3 písm. d) insolvenčního zákona provádí insolvenční srážky ze mzdy plátce mzdy, přičemž se při jejich provádění v zásadě řídí exekučními předpisy.“ </w:t>
      </w:r>
    </w:p>
    <w:bookmarkEnd w:id="1"/>
    <w:p w:rsidR="000A5F0D" w:rsidRDefault="000A5F0D" w:rsidP="000A5F0D"/>
    <w:p w:rsidR="000A5F0D" w:rsidRDefault="000A5F0D" w:rsidP="000A5F0D">
      <w:pPr>
        <w:spacing w:line="360" w:lineRule="auto"/>
        <w:jc w:val="both"/>
        <w:rPr>
          <w:rFonts w:ascii="Arial" w:hAnsi="Arial" w:cs="Arial"/>
          <w:sz w:val="22"/>
          <w:szCs w:val="22"/>
        </w:rPr>
      </w:pPr>
      <w:r>
        <w:rPr>
          <w:rStyle w:val="Q"/>
          <w:rFonts w:ascii="Arial" w:hAnsi="Arial" w:cs="Arial"/>
          <w:sz w:val="22"/>
          <w:szCs w:val="22"/>
          <w:u w:val="single"/>
        </w:rPr>
        <w:t>Ministerstvo spravedlnosti</w:t>
      </w:r>
      <w:r>
        <w:rPr>
          <w:rStyle w:val="Q"/>
          <w:rFonts w:ascii="Arial" w:hAnsi="Arial" w:cs="Arial"/>
          <w:sz w:val="22"/>
          <w:szCs w:val="22"/>
        </w:rPr>
        <w:t xml:space="preserve">: „Situace, kterou popisujete, se v aplikační praxi nejčastěji objevuje        v případě, kdy má dlužník dva příjmy, z nichž ani jeden nepřesahuje výši nezabavitelné částky. </w:t>
      </w:r>
      <w:r>
        <w:rPr>
          <w:rFonts w:ascii="Arial" w:hAnsi="Arial" w:cs="Arial"/>
          <w:sz w:val="22"/>
          <w:szCs w:val="22"/>
        </w:rPr>
        <w:t xml:space="preserve">Za této situace se postupuje zejména v souladu s § 207 odst. 2 a 3 zákona č. 182/2006 Sb., o úpadku a způsobech jeho řešení, ve znění pozdějších předpisů (insolvenční zákon), a s § 298 zákona       č. 99/1963 Sb., občanský soudní řád, ve znění pozdějších předpisů. Dle § 207 </w:t>
      </w:r>
      <w:r>
        <w:rPr>
          <w:rFonts w:ascii="Arial" w:hAnsi="Arial" w:cs="Arial"/>
          <w:sz w:val="22"/>
          <w:szCs w:val="22"/>
        </w:rPr>
        <w:lastRenderedPageBreak/>
        <w:t>odst. 2 insolvenčního zákona náleží příjmy dlužníka do majetkové podstaty ve stejném rozsahu, v jakém z nich mohou být při výkonu rozhodnutí či při exekuci uspokojeny přednostní pohledávky. Dle odst. 3 téhož ustanovení pak platí, že je-li podle ustanovení o výkonu rozhodnutí nebo exekuci posouzení otázky, který majetek nelze postihnout výkonem rozhodnutí nebo exekucí, závislé na rozhodnutí soudu, pro účely insolvenčního řízení v</w:t>
      </w:r>
      <w:r>
        <w:rPr>
          <w:rFonts w:ascii="Arial" w:hAnsi="Arial" w:cs="Arial"/>
          <w:sz w:val="22"/>
          <w:szCs w:val="22"/>
          <w:u w:val="single"/>
        </w:rPr>
        <w:t>ydá takové rozhodnutí insolvenční soud</w:t>
      </w:r>
      <w:r>
        <w:rPr>
          <w:rFonts w:ascii="Arial" w:hAnsi="Arial" w:cs="Arial"/>
          <w:sz w:val="22"/>
          <w:szCs w:val="22"/>
        </w:rPr>
        <w:t>. S ohledem na výše uvedené lze proto uzavřít, že je tedy soud tím, kdo nařizuje provádění srážek ze mzdy několika plátcům mzdy, a tím, kdo jim jednotlivě určí, jakou část nezabavitelné částky a z jakého příjmu nemají srážet. Navíc by měl také stanovit princip, jakým se toto srážení provede.“</w:t>
      </w:r>
    </w:p>
    <w:p w:rsidR="000A5F0D" w:rsidRDefault="000A5F0D" w:rsidP="000A5F0D">
      <w:pPr>
        <w:pStyle w:val="Zkladntext"/>
        <w:spacing w:line="360" w:lineRule="auto"/>
        <w:jc w:val="both"/>
        <w:rPr>
          <w:rFonts w:ascii="Arial" w:hAnsi="Arial" w:cs="Arial"/>
          <w:sz w:val="22"/>
          <w:szCs w:val="22"/>
        </w:rPr>
      </w:pPr>
    </w:p>
    <w:p w:rsidR="000A5F0D" w:rsidRDefault="000A5F0D" w:rsidP="000A5F0D">
      <w:pPr>
        <w:pStyle w:val="Zkladntext"/>
        <w:spacing w:line="360" w:lineRule="auto"/>
        <w:jc w:val="both"/>
        <w:rPr>
          <w:rFonts w:ascii="Arial" w:hAnsi="Arial" w:cs="Arial"/>
          <w:sz w:val="22"/>
          <w:szCs w:val="22"/>
        </w:rPr>
      </w:pPr>
      <w:r>
        <w:rPr>
          <w:rFonts w:ascii="Arial" w:hAnsi="Arial" w:cs="Arial"/>
          <w:sz w:val="22"/>
          <w:szCs w:val="22"/>
          <w:u w:val="single"/>
        </w:rPr>
        <w:t>Ministerstvo práce a sociálních věcí:</w:t>
      </w:r>
      <w:r>
        <w:rPr>
          <w:rFonts w:ascii="Arial" w:hAnsi="Arial" w:cs="Arial"/>
          <w:sz w:val="22"/>
          <w:szCs w:val="22"/>
        </w:rPr>
        <w:t xml:space="preserve"> „V aplikační praxi se případ, kdy je celá mzda vyplacena přímo insolvenčnímu správci s tím, aby provedl insolvenční srážku a zbytek vrátil zpět dlužníkovi, nejčastěji objevuje v případech, kdy má dlužník dva příjmy, z nichž ani jeden nepřesahuje výši nezabavitelné částky. V takovém případě se postupuje v souladu s § 207 odst. 2 a 3 insolvenčního zákona </w:t>
      </w:r>
      <w:bookmarkStart w:id="2" w:name="_GoBack11"/>
      <w:bookmarkEnd w:id="2"/>
      <w:r>
        <w:rPr>
          <w:rFonts w:ascii="Arial" w:hAnsi="Arial" w:cs="Arial"/>
          <w:sz w:val="22"/>
          <w:szCs w:val="22"/>
        </w:rPr>
        <w:t>a s § 298 OSŘ. Podle § 207 odst. 2 insolvenčního zákona náleží příjmy dlužníka do majetkové podstaty ve stejném rozsahu, v jakém z nich mohou být při výkonu rozhodnutí či při exekuci uspokojeny přednostní pohledávky. Je-li podle ustanovení o výkonu rozhodnutí nebo exekuci posouzení otázky, který majetek nelze postihnout výkonem rozhodnutí nebo exekucí, závislé na rozhodnutí soudu, pro účely insolvenčního řízení vydá takové rozhodnutí insolvenční soud. Tento soud je tedy tím, kdo nařizuje provádění srážek ze mzdy několika plátcům mzdy, a tím, kdo jim jednotlivě určí, jakou část nezabavitelné částky a z jakého příjmu nemají srážet. Navíc by měl také stanovit princip, jakým se toto srážení provede (tj. kdo a jakým způsobem insolvenční srážku provede).</w:t>
      </w:r>
    </w:p>
    <w:p w:rsidR="000A5F0D" w:rsidRDefault="000A5F0D" w:rsidP="000A5F0D">
      <w:pPr>
        <w:spacing w:line="360" w:lineRule="auto"/>
        <w:jc w:val="both"/>
        <w:rPr>
          <w:rFonts w:ascii="Arial" w:hAnsi="Arial" w:cs="Arial"/>
          <w:sz w:val="22"/>
          <w:szCs w:val="22"/>
        </w:rPr>
      </w:pPr>
      <w:r>
        <w:rPr>
          <w:rFonts w:ascii="Arial" w:hAnsi="Arial" w:cs="Arial"/>
          <w:sz w:val="22"/>
          <w:szCs w:val="22"/>
        </w:rPr>
        <w:t xml:space="preserve">Za situace, kdy má dlužník vícero zaměstnavatelů a žádný jeho jednotlivý příjem nepřesahuje nezabavitelnou částku, rozhoduje o dalším postupu výhradně insolvenční soud. Je třeba upozornit, že </w:t>
      </w:r>
      <w:r>
        <w:rPr>
          <w:rFonts w:ascii="Arial" w:hAnsi="Arial" w:cs="Arial"/>
          <w:sz w:val="22"/>
          <w:szCs w:val="22"/>
          <w:u w:val="single"/>
        </w:rPr>
        <w:t>neexistuje obecné řešení</w:t>
      </w:r>
      <w:r>
        <w:rPr>
          <w:rFonts w:ascii="Arial" w:hAnsi="Arial" w:cs="Arial"/>
          <w:sz w:val="22"/>
          <w:szCs w:val="22"/>
        </w:rPr>
        <w:t xml:space="preserve">, tudíž se insolvenčním soudem zvolený postup může lišit případ od případu. Obecným znakem je však bezpochyby, </w:t>
      </w:r>
      <w:r>
        <w:rPr>
          <w:rFonts w:ascii="Arial" w:hAnsi="Arial" w:cs="Arial"/>
          <w:color w:val="000000"/>
          <w:sz w:val="22"/>
          <w:szCs w:val="22"/>
        </w:rPr>
        <w:t>že se všechny příjmy sčítají a na základě zjištění o výši základní nepostižitelné částky ze součtu všech příjmů soud jednotlivým zaměstnavatelům určí, jakou část základní nepostižitelné částky nemají srážet. Není ani vyloučeno takové rozhodnutí soudu, kdy celou základní nepostižitelnou částku nebude srážet jeden ze zaměstnavatelů a ostatní budou provádět srážky bez ohledu na tuto částku, nebo rozdělení nepostižitelné částky mezi některé nebo mezi všechny zaměstnavatelů.“</w:t>
      </w:r>
      <w:r>
        <w:rPr>
          <w:rFonts w:ascii="Arial" w:hAnsi="Arial" w:cs="Arial"/>
          <w:sz w:val="22"/>
          <w:szCs w:val="22"/>
        </w:rPr>
        <w:t xml:space="preserve"> </w:t>
      </w:r>
    </w:p>
    <w:p w:rsidR="000A5F0D" w:rsidRDefault="000A5F0D" w:rsidP="000A5F0D">
      <w:pPr>
        <w:spacing w:line="360" w:lineRule="auto"/>
        <w:jc w:val="both"/>
        <w:rPr>
          <w:rFonts w:ascii="Arial" w:hAnsi="Arial" w:cs="Arial"/>
          <w:sz w:val="22"/>
          <w:szCs w:val="22"/>
        </w:rPr>
      </w:pPr>
    </w:p>
    <w:p w:rsidR="000A5F0D" w:rsidRDefault="000A5F0D" w:rsidP="000A5F0D">
      <w:pPr>
        <w:spacing w:line="360" w:lineRule="auto"/>
        <w:jc w:val="both"/>
        <w:rPr>
          <w:rFonts w:ascii="Arial" w:hAnsi="Arial" w:cs="Arial"/>
          <w:sz w:val="22"/>
          <w:szCs w:val="22"/>
        </w:rPr>
      </w:pPr>
      <w:r>
        <w:rPr>
          <w:rFonts w:ascii="Arial" w:hAnsi="Arial" w:cs="Arial"/>
          <w:sz w:val="22"/>
          <w:szCs w:val="22"/>
          <w:u w:val="single"/>
        </w:rPr>
        <w:t>Advokátní kancelář, insolvenční správce FABIAN &amp; PARTNERS:</w:t>
      </w:r>
      <w:r>
        <w:rPr>
          <w:rFonts w:ascii="Arial" w:hAnsi="Arial" w:cs="Arial"/>
          <w:sz w:val="22"/>
          <w:szCs w:val="22"/>
        </w:rPr>
        <w:t xml:space="preserve"> „V praxi často dochází k situacím, kdy insolvenční soud přikáže, aby byly CELÉ příjmy vyplaceny insolvenčnímu </w:t>
      </w:r>
      <w:r>
        <w:rPr>
          <w:rFonts w:ascii="Arial" w:hAnsi="Arial" w:cs="Arial"/>
          <w:sz w:val="22"/>
          <w:szCs w:val="22"/>
        </w:rPr>
        <w:lastRenderedPageBreak/>
        <w:t xml:space="preserve">správci, který provede jednotlivé srážky a dlužníkovi poukáže jeho nezabavitelnou část. Ač tento postup není výslovně zaveden v OSŘ, jedná se vzhledem ke specifičnosti takové situaci za postup praktický     a efektivní, který tedy v praxi běžně funguje. Nelze tedy dle našeho názoru hovořit o nezákonnosti takového postupu. </w:t>
      </w:r>
    </w:p>
    <w:p w:rsidR="000A5F0D" w:rsidRDefault="000A5F0D" w:rsidP="000A5F0D">
      <w:pPr>
        <w:spacing w:line="360" w:lineRule="auto"/>
        <w:rPr>
          <w:rFonts w:ascii="Arial" w:hAnsi="Arial" w:cs="Arial"/>
          <w:sz w:val="22"/>
          <w:szCs w:val="22"/>
        </w:rPr>
      </w:pPr>
    </w:p>
    <w:p w:rsidR="000A5F0D" w:rsidRDefault="000A5F0D" w:rsidP="000A5F0D">
      <w:pPr>
        <w:spacing w:line="360" w:lineRule="auto"/>
        <w:jc w:val="both"/>
      </w:pPr>
      <w:r>
        <w:rPr>
          <w:rFonts w:ascii="Arial" w:hAnsi="Arial" w:cs="Arial"/>
          <w:sz w:val="22"/>
          <w:szCs w:val="22"/>
        </w:rPr>
        <w:t xml:space="preserve">Obecně by měly být </w:t>
      </w:r>
      <w:r>
        <w:rPr>
          <w:rFonts w:ascii="Arial" w:hAnsi="Arial" w:cs="Arial"/>
          <w:sz w:val="22"/>
          <w:szCs w:val="22"/>
          <w:u w:val="single"/>
        </w:rPr>
        <w:t>veškeré změny týkající se dlužníkových příjmů hlášeny ze strany zaměstnavatelů insolvenčnímu správci, který následně informuje insolvenční soud</w:t>
      </w:r>
      <w:r>
        <w:rPr>
          <w:rFonts w:ascii="Arial" w:hAnsi="Arial" w:cs="Arial"/>
          <w:sz w:val="22"/>
          <w:szCs w:val="22"/>
        </w:rPr>
        <w:t>. Insolvenční soud pak dle potřeby usnesením postup srážení ze mzdy při pluralitě zaměstnavatelů upraví. Vždy tedy bude vhodné informovat o veškerých skutečnostech insolvenční soud, který již individuálně nastaví vhodný a legální postup, který bude závazný, jak pro dlužníka a jeho zaměstnavatele tak pro insolvenčního správce.“</w:t>
      </w:r>
    </w:p>
    <w:p w:rsidR="00665A37" w:rsidRDefault="00665A37"/>
    <w:sectPr w:rsidR="00665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0D"/>
    <w:rsid w:val="000A5F0D"/>
    <w:rsid w:val="00665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33590-B0CA-4D8B-A245-68E1E6A6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F0D"/>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0A5F0D"/>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5F0D"/>
    <w:rPr>
      <w:rFonts w:ascii="Arial" w:eastAsia="Microsoft YaHei" w:hAnsi="Arial" w:cs="Mangal"/>
      <w:b/>
      <w:bCs/>
      <w:kern w:val="1"/>
      <w:sz w:val="32"/>
      <w:szCs w:val="32"/>
      <w:lang w:eastAsia="hi-IN" w:bidi="hi-IN"/>
    </w:rPr>
  </w:style>
  <w:style w:type="character" w:styleId="Hypertextovodkaz">
    <w:name w:val="Hyperlink"/>
    <w:rsid w:val="000A5F0D"/>
    <w:rPr>
      <w:rFonts w:cs="Times New Roman"/>
      <w:color w:val="0000FF"/>
      <w:u w:val="single"/>
    </w:rPr>
  </w:style>
  <w:style w:type="character" w:customStyle="1" w:styleId="Q">
    <w:name w:val="Q"/>
    <w:rsid w:val="000A5F0D"/>
  </w:style>
  <w:style w:type="paragraph" w:styleId="Zkladntext">
    <w:name w:val="Body Text"/>
    <w:basedOn w:val="Normln"/>
    <w:link w:val="ZkladntextChar"/>
    <w:rsid w:val="000A5F0D"/>
    <w:pPr>
      <w:spacing w:after="120"/>
    </w:pPr>
  </w:style>
  <w:style w:type="character" w:customStyle="1" w:styleId="ZkladntextChar">
    <w:name w:val="Základní text Char"/>
    <w:basedOn w:val="Standardnpsmoodstavce"/>
    <w:link w:val="Zkladntext"/>
    <w:rsid w:val="000A5F0D"/>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5487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UTB</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2016-04-26T13:58:00Z</dcterms:created>
  <dcterms:modified xsi:type="dcterms:W3CDTF">2016-04-26T13:59:00Z</dcterms:modified>
</cp:coreProperties>
</file>