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EE" w:rsidRPr="00BE23AF" w:rsidRDefault="00887FEE" w:rsidP="00887FEE">
      <w:pPr>
        <w:spacing w:line="276" w:lineRule="auto"/>
        <w:jc w:val="both"/>
        <w:rPr>
          <w:rFonts w:ascii="Arial" w:hAnsi="Arial" w:cs="Arial"/>
          <w:b/>
        </w:rPr>
      </w:pPr>
      <w:r w:rsidRPr="00BE23AF">
        <w:rPr>
          <w:rFonts w:ascii="Arial" w:hAnsi="Arial" w:cs="Arial"/>
          <w:b/>
        </w:rPr>
        <w:t>Archivace dokladů po skončení pracovněprávního vztahu</w:t>
      </w:r>
    </w:p>
    <w:p w:rsidR="00887FEE" w:rsidRPr="00BE23AF" w:rsidRDefault="00887FEE" w:rsidP="00887FEE">
      <w:pPr>
        <w:spacing w:line="276" w:lineRule="auto"/>
        <w:jc w:val="both"/>
        <w:rPr>
          <w:rFonts w:ascii="Arial" w:hAnsi="Arial" w:cs="Arial"/>
        </w:rPr>
      </w:pPr>
      <w:r w:rsidRPr="00BE23AF">
        <w:rPr>
          <w:rFonts w:ascii="Arial" w:hAnsi="Arial" w:cs="Arial"/>
        </w:rPr>
        <w:t>Zákoník práce uchovávání dokladů upravuje pouze po dobu trvání pracovního poměru. Pro období po skončení pracovního poměru platí v souvislosti s uchováváním personálních a mzdových dokumentů dvojí režim. Jsou to obecná pravidla pro uchovávání osobních údajů podle zákona o ochraně osobních údajů a povinný režim uchovávání specifických dokumentů podle zvláštních předpisů</w:t>
      </w:r>
      <w:r>
        <w:rPr>
          <w:rFonts w:ascii="Arial" w:hAnsi="Arial" w:cs="Arial"/>
        </w:rPr>
        <w:t xml:space="preserve"> (například sociální zabezpečení). </w:t>
      </w:r>
    </w:p>
    <w:p w:rsidR="00887FEE" w:rsidRDefault="00887FEE" w:rsidP="00887FE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Podle obecných pravidel by měly být</w:t>
      </w:r>
      <w:r w:rsidRPr="00BE23AF">
        <w:rPr>
          <w:rFonts w:ascii="Arial" w:hAnsi="Arial" w:cs="Arial"/>
        </w:rPr>
        <w:t xml:space="preserve"> osobní údaje uchovávány pouze do okamžiku, než pomine účel, za kterým byly tyto osobní údaje shromážděny. Jakmile účel zpracování těchto údajů pomine, měly by být zlikvidovány. S ohledem na 3letou promlčecí lhůtu považují právníci uchování pracovněprávních dokumentů za tímto účelem po dobu až 4 let (s ohledem na fakt, že žaloba může být žalovanému zaměstnavateli doručena i několik měsíců po uplynutí promlčecí lhůty). </w:t>
      </w:r>
      <w:r>
        <w:rPr>
          <w:rFonts w:ascii="Arial" w:hAnsi="Arial" w:cs="Arial"/>
        </w:rPr>
        <w:t xml:space="preserve">V některých případech se ale jedná o účetní doklady, které se uchovávají až po </w:t>
      </w:r>
      <w:r w:rsidRPr="00BE23AF">
        <w:rPr>
          <w:rFonts w:ascii="Arial" w:hAnsi="Arial" w:cs="Arial"/>
        </w:rPr>
        <w:t>dobu 5 let</w:t>
      </w:r>
      <w:r>
        <w:rPr>
          <w:rFonts w:ascii="Arial" w:hAnsi="Arial" w:cs="Arial"/>
        </w:rPr>
        <w:t xml:space="preserve">.  </w:t>
      </w:r>
    </w:p>
    <w:p w:rsidR="00887FEE" w:rsidRDefault="00887FEE" w:rsidP="00887FE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Personální složku tedy nelze uchovávat v </w:t>
      </w:r>
      <w:r w:rsidRPr="00BE23AF">
        <w:rPr>
          <w:rFonts w:ascii="Arial" w:hAnsi="Arial" w:cs="Arial"/>
        </w:rPr>
        <w:t>celém rozsahu, při skončení pracovněprávního vztahu je třeba zlikvidovat ty dokumenty (údaje), které by pro případný spor zaměstnavatel nepotřeboval. Jedná se např. o kopie osobních dokladů</w:t>
      </w:r>
      <w:r>
        <w:rPr>
          <w:rFonts w:ascii="Arial" w:hAnsi="Arial" w:cs="Arial"/>
        </w:rPr>
        <w:t xml:space="preserve"> (ne občanský průkaz ten se kopírovat nesmí)</w:t>
      </w:r>
      <w:r w:rsidRPr="00BE23AF">
        <w:rPr>
          <w:rFonts w:ascii="Arial" w:hAnsi="Arial" w:cs="Arial"/>
        </w:rPr>
        <w:t>, profesní životopis či jiné obdobné dokumenty (přesný výčet neexistuje) a uchovávat pouze nezbytně nutné dokumenty pro tohoto účelu zpracování osobních údajů</w:t>
      </w:r>
      <w:r>
        <w:rPr>
          <w:rFonts w:ascii="Arial" w:hAnsi="Arial" w:cs="Arial"/>
        </w:rPr>
        <w:t xml:space="preserve">. Po celou dobu jejich uchování (tj. zpracování osobních údajů) se uchová i souhlas se zpracováním osobních dokladů (pouze tam, kde je souhlas vyžadován). </w:t>
      </w:r>
    </w:p>
    <w:p w:rsidR="00887FEE" w:rsidRPr="00BE23AF" w:rsidRDefault="00887FEE" w:rsidP="00887FE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Problematická je i doporučená doba archivace. </w:t>
      </w:r>
      <w:r w:rsidRPr="00BE23AF">
        <w:rPr>
          <w:rFonts w:ascii="Arial" w:hAnsi="Arial" w:cs="Arial"/>
        </w:rPr>
        <w:t xml:space="preserve">Například ve Vzorovém spisovém a skartačním plánu pro krajské úřady vytvořeném Ministerstvem vnitra ČR (který nelze úplně automaticky použít i pro zaměstnavatele v soukromém sektoru) je uvedena doba uchování dokumentů důchodového pojištění vyšší než požaduje zákon, a to zejména s odůvodněním na stále se zvyšující věk odchodu do důchodu. </w:t>
      </w:r>
      <w:r>
        <w:rPr>
          <w:rFonts w:ascii="Arial" w:hAnsi="Arial" w:cs="Arial"/>
        </w:rPr>
        <w:t xml:space="preserve">Doporučují až </w:t>
      </w:r>
      <w:r w:rsidR="008707F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 let. </w:t>
      </w:r>
      <w:r w:rsidRPr="00BE23AF">
        <w:rPr>
          <w:rFonts w:ascii="Arial" w:hAnsi="Arial" w:cs="Arial"/>
        </w:rPr>
        <w:t xml:space="preserve">Pro takový postup však </w:t>
      </w:r>
      <w:r>
        <w:rPr>
          <w:rFonts w:ascii="Arial" w:hAnsi="Arial" w:cs="Arial"/>
        </w:rPr>
        <w:t xml:space="preserve">podle právníků </w:t>
      </w:r>
      <w:r w:rsidRPr="00BE23AF">
        <w:rPr>
          <w:rFonts w:ascii="Arial" w:hAnsi="Arial" w:cs="Arial"/>
        </w:rPr>
        <w:t xml:space="preserve">neexistuje jasná zákonná opora a zaměstnavatel se tak teoreticky vystavuje riziku potenciálnímu postihu. </w:t>
      </w:r>
      <w:r>
        <w:rPr>
          <w:rFonts w:ascii="Arial" w:hAnsi="Arial" w:cs="Arial"/>
        </w:rPr>
        <w:t xml:space="preserve">Více zde: </w:t>
      </w:r>
      <w:hyperlink r:id="rId5" w:history="1">
        <w:r w:rsidR="008707F4" w:rsidRPr="00F64B04">
          <w:rPr>
            <w:rStyle w:val="Hypertextovodkaz"/>
            <w:rFonts w:ascii="Arial" w:hAnsi="Arial" w:cs="Arial"/>
          </w:rPr>
          <w:t>http://www.mvcr.cz/clanek/spisovy-a-skartacni-rad.aspx</w:t>
        </w:r>
      </w:hyperlink>
      <w:r w:rsidR="008707F4">
        <w:rPr>
          <w:rFonts w:ascii="Arial" w:hAnsi="Arial" w:cs="Arial"/>
        </w:rPr>
        <w:t xml:space="preserve"> (Příloha č. 12). </w:t>
      </w:r>
      <w:bookmarkStart w:id="0" w:name="_GoBack"/>
      <w:bookmarkEnd w:id="0"/>
    </w:p>
    <w:p w:rsidR="00887FEE" w:rsidRPr="00BB7A27" w:rsidRDefault="00887FEE" w:rsidP="00887FEE">
      <w:pPr>
        <w:jc w:val="both"/>
        <w:rPr>
          <w:rFonts w:ascii="Arial" w:hAnsi="Arial" w:cs="Arial"/>
        </w:rPr>
      </w:pPr>
      <w:r w:rsidRPr="00BB7A27">
        <w:rPr>
          <w:rFonts w:ascii="Arial" w:hAnsi="Arial" w:cs="Arial"/>
        </w:rPr>
        <w:t xml:space="preserve">Podle zákona o organizaci a provádění sociálního zabezpečení jsou </w:t>
      </w:r>
      <w:r w:rsidRPr="00BB7A27">
        <w:rPr>
          <w:rStyle w:val="Siln"/>
          <w:rFonts w:ascii="Arial" w:hAnsi="Arial" w:cs="Arial"/>
          <w:b w:val="0"/>
        </w:rPr>
        <w:t>zaměstnavatelé povinni uschovávat</w:t>
      </w:r>
      <w:r w:rsidRPr="00BB7A27">
        <w:rPr>
          <w:rFonts w:ascii="Arial" w:hAnsi="Arial" w:cs="Arial"/>
        </w:rPr>
        <w:t xml:space="preserve">: </w:t>
      </w:r>
    </w:p>
    <w:p w:rsidR="00887FEE" w:rsidRPr="00BB7A27" w:rsidRDefault="00887FEE" w:rsidP="00887F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BB7A27">
        <w:rPr>
          <w:rStyle w:val="Siln"/>
          <w:rFonts w:ascii="Arial" w:hAnsi="Arial" w:cs="Arial"/>
          <w:b w:val="0"/>
        </w:rPr>
        <w:t>stejnopisy evidenčních listů po dobu</w:t>
      </w:r>
      <w:r w:rsidRPr="00BB7A27">
        <w:rPr>
          <w:rFonts w:ascii="Arial" w:hAnsi="Arial" w:cs="Arial"/>
        </w:rPr>
        <w:t xml:space="preserve"> </w:t>
      </w:r>
      <w:r w:rsidRPr="00BB7A27">
        <w:rPr>
          <w:rStyle w:val="Siln"/>
          <w:rFonts w:ascii="Arial" w:hAnsi="Arial" w:cs="Arial"/>
          <w:b w:val="0"/>
        </w:rPr>
        <w:t>3 kalendářních roků</w:t>
      </w:r>
      <w:r w:rsidRPr="00BB7A27">
        <w:rPr>
          <w:rFonts w:ascii="Arial" w:hAnsi="Arial" w:cs="Arial"/>
        </w:rPr>
        <w:t xml:space="preserve"> po roce, kterého se týkají,</w:t>
      </w:r>
    </w:p>
    <w:p w:rsidR="00887FEE" w:rsidRPr="00BB7A27" w:rsidRDefault="00887FEE" w:rsidP="00887F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BB7A27">
        <w:rPr>
          <w:rStyle w:val="Siln"/>
          <w:rFonts w:ascii="Arial" w:hAnsi="Arial" w:cs="Arial"/>
          <w:b w:val="0"/>
        </w:rPr>
        <w:t>seznam společníků a členů statutárního orgánu a dozorčí rady</w:t>
      </w:r>
      <w:r w:rsidRPr="00BB7A27">
        <w:rPr>
          <w:rFonts w:ascii="Arial" w:hAnsi="Arial" w:cs="Arial"/>
        </w:rPr>
        <w:t xml:space="preserve"> </w:t>
      </w:r>
      <w:r w:rsidRPr="00BB7A27">
        <w:rPr>
          <w:rStyle w:val="Siln"/>
          <w:rFonts w:ascii="Arial" w:hAnsi="Arial" w:cs="Arial"/>
          <w:b w:val="0"/>
        </w:rPr>
        <w:t>společnosti</w:t>
      </w:r>
      <w:r w:rsidRPr="00BB7A27">
        <w:rPr>
          <w:rFonts w:ascii="Arial" w:hAnsi="Arial" w:cs="Arial"/>
        </w:rPr>
        <w:t xml:space="preserve"> (tato povinnost platí </w:t>
      </w:r>
      <w:r w:rsidRPr="00BB7A27">
        <w:rPr>
          <w:rStyle w:val="Siln"/>
          <w:rFonts w:ascii="Arial" w:hAnsi="Arial" w:cs="Arial"/>
          <w:b w:val="0"/>
        </w:rPr>
        <w:t>pouze pro obchodní společnosti za období před rokem 2014</w:t>
      </w:r>
      <w:r w:rsidRPr="00BB7A27">
        <w:rPr>
          <w:rFonts w:ascii="Arial" w:hAnsi="Arial" w:cs="Arial"/>
        </w:rPr>
        <w:t xml:space="preserve">, od 1. 1. 2014 byla zrušena) </w:t>
      </w:r>
      <w:r w:rsidRPr="00BB7A27">
        <w:rPr>
          <w:rStyle w:val="Siln"/>
          <w:rFonts w:ascii="Arial" w:hAnsi="Arial" w:cs="Arial"/>
          <w:b w:val="0"/>
        </w:rPr>
        <w:t>za jednotlivé kalendářní měsíce</w:t>
      </w:r>
      <w:r w:rsidRPr="00BB7A27">
        <w:rPr>
          <w:rFonts w:ascii="Arial" w:hAnsi="Arial" w:cs="Arial"/>
        </w:rPr>
        <w:t xml:space="preserve"> a přehled kalendářních měsíců, za které tato společnost </w:t>
      </w:r>
      <w:r w:rsidRPr="00BB7A27">
        <w:rPr>
          <w:rStyle w:val="Siln"/>
          <w:rFonts w:ascii="Arial" w:hAnsi="Arial" w:cs="Arial"/>
          <w:b w:val="0"/>
        </w:rPr>
        <w:t>neodvedla pojistné na sociální zabezpečení a příspěvek na státní politiku zaměstnanosti</w:t>
      </w:r>
      <w:r w:rsidRPr="00BB7A27">
        <w:rPr>
          <w:rFonts w:ascii="Arial" w:hAnsi="Arial" w:cs="Arial"/>
        </w:rPr>
        <w:t xml:space="preserve">, které byla povinna odvést – po dobu </w:t>
      </w:r>
      <w:r w:rsidRPr="00BB7A27">
        <w:rPr>
          <w:rStyle w:val="Siln"/>
          <w:rFonts w:ascii="Arial" w:hAnsi="Arial" w:cs="Arial"/>
          <w:b w:val="0"/>
        </w:rPr>
        <w:t>6 kalendářních roků</w:t>
      </w:r>
      <w:r w:rsidRPr="00BB7A27">
        <w:rPr>
          <w:rFonts w:ascii="Arial" w:hAnsi="Arial" w:cs="Arial"/>
        </w:rPr>
        <w:t xml:space="preserve"> následujících po měsíci, kterého se záznam týká; vždy však po dobu </w:t>
      </w:r>
      <w:r w:rsidRPr="00BB7A27">
        <w:rPr>
          <w:rStyle w:val="Siln"/>
          <w:rFonts w:ascii="Arial" w:hAnsi="Arial" w:cs="Arial"/>
          <w:b w:val="0"/>
        </w:rPr>
        <w:t>3 kalendářních roků</w:t>
      </w:r>
      <w:r w:rsidRPr="00BB7A27">
        <w:rPr>
          <w:rFonts w:ascii="Arial" w:hAnsi="Arial" w:cs="Arial"/>
        </w:rPr>
        <w:t xml:space="preserve"> následujících po měsíci, v němž bylo dlužné pojistné za tento měsíc zaplaceno,</w:t>
      </w:r>
    </w:p>
    <w:p w:rsidR="00887FEE" w:rsidRPr="00BB7A27" w:rsidRDefault="00887FEE" w:rsidP="00887F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BB7A27">
        <w:rPr>
          <w:rFonts w:ascii="Arial" w:hAnsi="Arial" w:cs="Arial"/>
        </w:rPr>
        <w:t xml:space="preserve">u </w:t>
      </w:r>
      <w:r w:rsidRPr="00BB7A27">
        <w:rPr>
          <w:rStyle w:val="Siln"/>
          <w:rFonts w:ascii="Arial" w:hAnsi="Arial" w:cs="Arial"/>
          <w:b w:val="0"/>
        </w:rPr>
        <w:t>poživatelů starobního nebo invalidního důchodu</w:t>
      </w:r>
      <w:r w:rsidRPr="00BB7A27">
        <w:rPr>
          <w:rFonts w:ascii="Arial" w:hAnsi="Arial" w:cs="Arial"/>
        </w:rPr>
        <w:t xml:space="preserve"> záznamy o skutečnostech vedených v evidenci zaměstnavatele § 37 odst. 1 – </w:t>
      </w:r>
      <w:r w:rsidRPr="00BB7A27">
        <w:rPr>
          <w:rStyle w:val="Siln"/>
          <w:rFonts w:ascii="Arial" w:hAnsi="Arial" w:cs="Arial"/>
          <w:b w:val="0"/>
        </w:rPr>
        <w:t>po dobu 10 kalendářních roků</w:t>
      </w:r>
      <w:r w:rsidRPr="00BB7A27">
        <w:rPr>
          <w:rFonts w:ascii="Arial" w:hAnsi="Arial" w:cs="Arial"/>
        </w:rPr>
        <w:t xml:space="preserve"> následujících po roce, kterého se týkají,</w:t>
      </w:r>
    </w:p>
    <w:p w:rsidR="00887FEE" w:rsidRPr="00BB7A27" w:rsidRDefault="00887FEE" w:rsidP="00887F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BB7A27">
        <w:rPr>
          <w:rStyle w:val="Siln"/>
          <w:rFonts w:ascii="Arial" w:hAnsi="Arial" w:cs="Arial"/>
          <w:b w:val="0"/>
        </w:rPr>
        <w:t>mzdové listy</w:t>
      </w:r>
      <w:r w:rsidRPr="00BB7A27">
        <w:rPr>
          <w:rFonts w:ascii="Arial" w:hAnsi="Arial" w:cs="Arial"/>
        </w:rPr>
        <w:t xml:space="preserve"> – </w:t>
      </w:r>
      <w:r w:rsidRPr="00BB7A27">
        <w:rPr>
          <w:rStyle w:val="Siln"/>
          <w:rFonts w:ascii="Arial" w:hAnsi="Arial" w:cs="Arial"/>
          <w:b w:val="0"/>
        </w:rPr>
        <w:t>po dobu</w:t>
      </w:r>
      <w:r w:rsidRPr="00BB7A27">
        <w:rPr>
          <w:rFonts w:ascii="Arial" w:hAnsi="Arial" w:cs="Arial"/>
        </w:rPr>
        <w:t xml:space="preserve"> </w:t>
      </w:r>
      <w:r w:rsidRPr="00BB7A27">
        <w:rPr>
          <w:rStyle w:val="Siln"/>
          <w:rFonts w:ascii="Arial" w:hAnsi="Arial" w:cs="Arial"/>
          <w:b w:val="0"/>
        </w:rPr>
        <w:t>30 kalendářních roků</w:t>
      </w:r>
      <w:r w:rsidRPr="00BB7A27">
        <w:rPr>
          <w:rFonts w:ascii="Arial" w:hAnsi="Arial" w:cs="Arial"/>
        </w:rPr>
        <w:t xml:space="preserve"> následujících po roce, kterého se týkají; jde-li o </w:t>
      </w:r>
      <w:r w:rsidRPr="00BB7A27">
        <w:rPr>
          <w:rStyle w:val="Siln"/>
          <w:rFonts w:ascii="Arial" w:hAnsi="Arial" w:cs="Arial"/>
          <w:b w:val="0"/>
        </w:rPr>
        <w:t>mzdové listy pro poživatele starobního důchodu</w:t>
      </w:r>
      <w:r w:rsidRPr="00BB7A27">
        <w:rPr>
          <w:rFonts w:ascii="Arial" w:hAnsi="Arial" w:cs="Arial"/>
        </w:rPr>
        <w:t xml:space="preserve">, pak </w:t>
      </w:r>
      <w:r w:rsidRPr="00BB7A27">
        <w:rPr>
          <w:rStyle w:val="Siln"/>
          <w:rFonts w:ascii="Arial" w:hAnsi="Arial" w:cs="Arial"/>
          <w:b w:val="0"/>
        </w:rPr>
        <w:t>po dobu</w:t>
      </w:r>
      <w:r w:rsidRPr="00BB7A27">
        <w:rPr>
          <w:rFonts w:ascii="Arial" w:hAnsi="Arial" w:cs="Arial"/>
        </w:rPr>
        <w:t xml:space="preserve"> </w:t>
      </w:r>
      <w:r w:rsidRPr="00BB7A27">
        <w:rPr>
          <w:rStyle w:val="Siln"/>
          <w:rFonts w:ascii="Arial" w:hAnsi="Arial" w:cs="Arial"/>
          <w:b w:val="0"/>
        </w:rPr>
        <w:t>10 kalendářních roků</w:t>
      </w:r>
      <w:r w:rsidRPr="00BB7A27">
        <w:rPr>
          <w:rFonts w:ascii="Arial" w:hAnsi="Arial" w:cs="Arial"/>
        </w:rPr>
        <w:t xml:space="preserve"> následujících po roce, kterého se týkají.</w:t>
      </w:r>
    </w:p>
    <w:p w:rsidR="00887FEE" w:rsidRPr="00BB7A27" w:rsidRDefault="00887FEE" w:rsidP="00887FEE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 w:rsidRPr="00BB7A27">
        <w:rPr>
          <w:rFonts w:ascii="Arial" w:hAnsi="Arial" w:cs="Arial"/>
        </w:rPr>
        <w:lastRenderedPageBreak/>
        <w:t>Archivační lhůta podle zákona o účetnictví:</w:t>
      </w:r>
    </w:p>
    <w:p w:rsidR="00887FEE" w:rsidRPr="00BB7A27" w:rsidRDefault="00887FEE" w:rsidP="00887F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BB7A27">
        <w:rPr>
          <w:rStyle w:val="Siln"/>
          <w:rFonts w:ascii="Arial" w:hAnsi="Arial" w:cs="Arial"/>
          <w:b w:val="0"/>
        </w:rPr>
        <w:t>účetní záznamy</w:t>
      </w:r>
      <w:r w:rsidRPr="00BB7A27">
        <w:rPr>
          <w:rFonts w:ascii="Arial" w:hAnsi="Arial" w:cs="Arial"/>
        </w:rPr>
        <w:t xml:space="preserve"> – </w:t>
      </w:r>
      <w:r w:rsidRPr="00BB7A27">
        <w:rPr>
          <w:rStyle w:val="Siln"/>
          <w:rFonts w:ascii="Arial" w:hAnsi="Arial" w:cs="Arial"/>
          <w:b w:val="0"/>
        </w:rPr>
        <w:t>po dobu</w:t>
      </w:r>
      <w:r w:rsidRPr="00BB7A27">
        <w:rPr>
          <w:rFonts w:ascii="Arial" w:hAnsi="Arial" w:cs="Arial"/>
        </w:rPr>
        <w:t xml:space="preserve"> </w:t>
      </w:r>
      <w:r w:rsidRPr="00BB7A27">
        <w:rPr>
          <w:rStyle w:val="Siln"/>
          <w:rFonts w:ascii="Arial" w:hAnsi="Arial" w:cs="Arial"/>
          <w:b w:val="0"/>
        </w:rPr>
        <w:t>5 let</w:t>
      </w:r>
      <w:r w:rsidRPr="00BB7A27">
        <w:rPr>
          <w:rFonts w:ascii="Arial" w:hAnsi="Arial" w:cs="Arial"/>
        </w:rPr>
        <w:t xml:space="preserve"> (za záznamy se vždy považují </w:t>
      </w:r>
      <w:r w:rsidRPr="00BB7A27">
        <w:rPr>
          <w:rStyle w:val="Siln"/>
          <w:rFonts w:ascii="Arial" w:hAnsi="Arial" w:cs="Arial"/>
          <w:b w:val="0"/>
        </w:rPr>
        <w:t>doklady o druhu, vzniku a skončení pracovního vztahu</w:t>
      </w:r>
      <w:r w:rsidRPr="00BB7A27">
        <w:rPr>
          <w:rFonts w:ascii="Arial" w:hAnsi="Arial" w:cs="Arial"/>
        </w:rPr>
        <w:t>, platové výměry,</w:t>
      </w:r>
      <w:r>
        <w:rPr>
          <w:rFonts w:ascii="Arial" w:hAnsi="Arial" w:cs="Arial"/>
        </w:rPr>
        <w:t xml:space="preserve"> výplatní listiny, záznamy o odměnách, </w:t>
      </w:r>
      <w:r w:rsidRPr="00BB7A27">
        <w:rPr>
          <w:rFonts w:ascii="Arial" w:hAnsi="Arial" w:cs="Arial"/>
        </w:rPr>
        <w:t xml:space="preserve"> BOZP, FKSP, záznamy o </w:t>
      </w:r>
      <w:r w:rsidRPr="00BB7A27">
        <w:rPr>
          <w:rStyle w:val="Siln"/>
          <w:rFonts w:ascii="Arial" w:hAnsi="Arial" w:cs="Arial"/>
          <w:b w:val="0"/>
        </w:rPr>
        <w:t>pracovních úrazech (u smrtelného úrazu uchovávat až 10 let) a o nemocech z povolání</w:t>
      </w:r>
      <w:r w:rsidRPr="00BB7A27">
        <w:rPr>
          <w:rFonts w:ascii="Arial" w:hAnsi="Arial" w:cs="Arial"/>
        </w:rPr>
        <w:t xml:space="preserve"> a záznamy </w:t>
      </w:r>
      <w:r w:rsidRPr="00BB7A27">
        <w:rPr>
          <w:rStyle w:val="Siln"/>
          <w:rFonts w:ascii="Arial" w:hAnsi="Arial" w:cs="Arial"/>
          <w:b w:val="0"/>
        </w:rPr>
        <w:t>o evidenci pracovní doby</w:t>
      </w:r>
      <w:r w:rsidRPr="00BB7A27">
        <w:rPr>
          <w:rFonts w:ascii="Arial" w:hAnsi="Arial" w:cs="Arial"/>
        </w:rPr>
        <w:t xml:space="preserve"> včetně doby </w:t>
      </w:r>
      <w:r w:rsidRPr="00BB7A27">
        <w:rPr>
          <w:rStyle w:val="Siln"/>
          <w:rFonts w:ascii="Arial" w:hAnsi="Arial" w:cs="Arial"/>
          <w:b w:val="0"/>
        </w:rPr>
        <w:t>pracovního volna bez náhrady příjmu</w:t>
      </w:r>
      <w:r>
        <w:rPr>
          <w:rFonts w:ascii="Arial" w:hAnsi="Arial" w:cs="Arial"/>
        </w:rPr>
        <w:t xml:space="preserve"> atd.). </w:t>
      </w:r>
    </w:p>
    <w:p w:rsidR="00887FEE" w:rsidRPr="00BB7A27" w:rsidRDefault="00887FEE" w:rsidP="00887FEE">
      <w:pPr>
        <w:rPr>
          <w:rFonts w:ascii="Arial" w:hAnsi="Arial" w:cs="Arial"/>
        </w:rPr>
      </w:pPr>
      <w:r w:rsidRPr="00BB7A27">
        <w:rPr>
          <w:rFonts w:ascii="Arial" w:hAnsi="Arial" w:cs="Arial"/>
        </w:rPr>
        <w:t>Archivační lhůta podle zákona o daních z příjmů</w:t>
      </w:r>
    </w:p>
    <w:p w:rsidR="00887FEE" w:rsidRPr="00BB7A27" w:rsidRDefault="00887FEE" w:rsidP="00887F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BB7A27">
        <w:rPr>
          <w:rFonts w:ascii="Arial" w:hAnsi="Arial" w:cs="Arial"/>
        </w:rPr>
        <w:t xml:space="preserve">Prohlášení k dani 10 let. </w:t>
      </w:r>
    </w:p>
    <w:p w:rsidR="00887FEE" w:rsidRDefault="00887FEE" w:rsidP="00887FEE">
      <w:pPr>
        <w:spacing w:line="276" w:lineRule="auto"/>
        <w:jc w:val="both"/>
        <w:rPr>
          <w:rFonts w:ascii="Arial" w:hAnsi="Arial" w:cs="Arial"/>
        </w:rPr>
      </w:pPr>
      <w:r w:rsidRPr="00BB7A27">
        <w:rPr>
          <w:rStyle w:val="Siln"/>
          <w:rFonts w:ascii="Arial" w:hAnsi="Arial" w:cs="Arial"/>
          <w:b w:val="0"/>
        </w:rPr>
        <w:t>Při zániku zaměstnavatele bez právního nástupce</w:t>
      </w:r>
      <w:r w:rsidRPr="00BB7A27">
        <w:rPr>
          <w:rFonts w:ascii="Arial" w:hAnsi="Arial" w:cs="Arial"/>
        </w:rPr>
        <w:t xml:space="preserve"> před uplynutím dob archivace vzniká subjektu </w:t>
      </w:r>
      <w:r w:rsidRPr="00BB7A27">
        <w:rPr>
          <w:rStyle w:val="Siln"/>
          <w:rFonts w:ascii="Arial" w:hAnsi="Arial" w:cs="Arial"/>
          <w:b w:val="0"/>
        </w:rPr>
        <w:t>povinnost zajistit úschovu záznamů a dokladů</w:t>
      </w:r>
      <w:r w:rsidRPr="00BB7A27">
        <w:rPr>
          <w:rFonts w:ascii="Arial" w:hAnsi="Arial" w:cs="Arial"/>
        </w:rPr>
        <w:t xml:space="preserve"> a bez zbytečného odkladu písemně </w:t>
      </w:r>
      <w:r w:rsidRPr="00BB7A27">
        <w:rPr>
          <w:rStyle w:val="Siln"/>
          <w:rFonts w:ascii="Arial" w:hAnsi="Arial" w:cs="Arial"/>
          <w:b w:val="0"/>
        </w:rPr>
        <w:t>oznámit okresní správě sociálního zabezpečení, kde jsou doklady zaměstnavatele uloženy</w:t>
      </w:r>
      <w:r w:rsidRPr="00BB7A27">
        <w:rPr>
          <w:rFonts w:ascii="Arial" w:hAnsi="Arial" w:cs="Arial"/>
        </w:rPr>
        <w:t>.</w:t>
      </w:r>
      <w:r w:rsidRPr="00BB7A27">
        <w:rPr>
          <w:rFonts w:ascii="Arial" w:hAnsi="Arial" w:cs="Arial"/>
        </w:rPr>
        <w:br/>
      </w:r>
      <w:r>
        <w:rPr>
          <w:rFonts w:ascii="Arial" w:hAnsi="Arial" w:cs="Arial"/>
        </w:rPr>
        <w:t xml:space="preserve">Zákoník práce ukládá zaměstnavateli </w:t>
      </w:r>
      <w:r w:rsidRPr="00BB7A27">
        <w:rPr>
          <w:rStyle w:val="Siln"/>
          <w:rFonts w:ascii="Arial" w:hAnsi="Arial" w:cs="Arial"/>
          <w:b w:val="0"/>
        </w:rPr>
        <w:t>povinnost uschovat vnitřní předpis</w:t>
      </w:r>
      <w:r w:rsidRPr="00BB7A27">
        <w:rPr>
          <w:rFonts w:ascii="Arial" w:hAnsi="Arial" w:cs="Arial"/>
        </w:rPr>
        <w:t xml:space="preserve">, kterým stanovuje </w:t>
      </w:r>
      <w:r w:rsidRPr="00BB7A27">
        <w:rPr>
          <w:rStyle w:val="Siln"/>
          <w:rFonts w:ascii="Arial" w:hAnsi="Arial" w:cs="Arial"/>
          <w:b w:val="0"/>
        </w:rPr>
        <w:t>práva z pracovněprávních vztahů výhodněji</w:t>
      </w:r>
      <w:r w:rsidRPr="00BB7A27">
        <w:rPr>
          <w:rFonts w:ascii="Arial" w:hAnsi="Arial" w:cs="Arial"/>
        </w:rPr>
        <w:t xml:space="preserve">, </w:t>
      </w:r>
      <w:r w:rsidRPr="00BB7A27">
        <w:rPr>
          <w:rStyle w:val="Siln"/>
          <w:rFonts w:ascii="Arial" w:hAnsi="Arial" w:cs="Arial"/>
          <w:b w:val="0"/>
        </w:rPr>
        <w:t>po dobu</w:t>
      </w:r>
      <w:r w:rsidRPr="00BB7A27">
        <w:rPr>
          <w:rFonts w:ascii="Arial" w:hAnsi="Arial" w:cs="Arial"/>
        </w:rPr>
        <w:t xml:space="preserve"> </w:t>
      </w:r>
      <w:r w:rsidRPr="00BB7A27">
        <w:rPr>
          <w:rStyle w:val="Siln"/>
          <w:rFonts w:ascii="Arial" w:hAnsi="Arial" w:cs="Arial"/>
          <w:b w:val="0"/>
        </w:rPr>
        <w:t>deseti let</w:t>
      </w:r>
      <w:r w:rsidRPr="00BB7A27">
        <w:rPr>
          <w:rFonts w:ascii="Arial" w:hAnsi="Arial" w:cs="Arial"/>
        </w:rPr>
        <w:t xml:space="preserve"> ode dne ukončení doby jeho platnosti.</w:t>
      </w:r>
    </w:p>
    <w:p w:rsidR="00887FEE" w:rsidRPr="00BB7A27" w:rsidRDefault="00887FEE" w:rsidP="00887FEE">
      <w:pPr>
        <w:spacing w:line="276" w:lineRule="auto"/>
        <w:jc w:val="both"/>
        <w:rPr>
          <w:rFonts w:ascii="Arial" w:eastAsia="Times New Roman" w:hAnsi="Arial" w:cs="Arial"/>
          <w:lang w:eastAsia="cs-CZ"/>
        </w:rPr>
      </w:pPr>
    </w:p>
    <w:p w:rsidR="00EE2A48" w:rsidRDefault="00EE2A48"/>
    <w:sectPr w:rsidR="00EE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32E5"/>
    <w:multiLevelType w:val="hybridMultilevel"/>
    <w:tmpl w:val="592E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174BF"/>
    <w:multiLevelType w:val="multilevel"/>
    <w:tmpl w:val="4C42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EE"/>
    <w:rsid w:val="008707F4"/>
    <w:rsid w:val="00887FEE"/>
    <w:rsid w:val="00E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0D38"/>
  <w15:chartTrackingRefBased/>
  <w15:docId w15:val="{BA97A311-8BD3-4F40-88B5-D2467110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F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FE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87FE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7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clanek/spisovy-a-skartacni-rad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</dc:creator>
  <cp:keywords/>
  <dc:description/>
  <cp:lastModifiedBy>Kučerová</cp:lastModifiedBy>
  <cp:revision>2</cp:revision>
  <dcterms:created xsi:type="dcterms:W3CDTF">2018-02-05T07:26:00Z</dcterms:created>
  <dcterms:modified xsi:type="dcterms:W3CDTF">2018-02-05T07:36:00Z</dcterms:modified>
</cp:coreProperties>
</file>